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CF5" w:rsidRDefault="00111C10" w:rsidP="004B6CF5">
      <w:pPr>
        <w:spacing w:after="0"/>
      </w:pPr>
      <w:r>
        <w:t>Antecedentes complementarios</w:t>
      </w:r>
      <w:bookmarkStart w:id="0" w:name="_GoBack"/>
      <w:bookmarkEnd w:id="0"/>
    </w:p>
    <w:p w:rsidR="004B6CF5" w:rsidRDefault="004B6CF5" w:rsidP="004B6CF5">
      <w:pPr>
        <w:spacing w:after="0"/>
      </w:pPr>
    </w:p>
    <w:p w:rsidR="000A4DF1" w:rsidRPr="00143B9B" w:rsidRDefault="00317F09" w:rsidP="003367BD">
      <w:pPr>
        <w:spacing w:after="0" w:line="240" w:lineRule="auto"/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</w:pPr>
      <w:r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Lo que se indica en la sección D del plano de Cálculo 16-47-E-12, es una jardinera. La canaleta </w:t>
      </w:r>
      <w:proofErr w:type="spellStart"/>
      <w:r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Ulma</w:t>
      </w:r>
      <w:proofErr w:type="spellEnd"/>
      <w:r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 se considera a los pies del muro de contención. Se debe considerar profundizar 20 cm. la fundación para dar espacio a la canaleta indicada. Se adjunta ficha aclaratoria.</w:t>
      </w:r>
    </w:p>
    <w:p w:rsidR="00C7614C" w:rsidRPr="00C7614C" w:rsidRDefault="00C90A85" w:rsidP="003367BD">
      <w:pPr>
        <w:spacing w:after="0" w:line="240" w:lineRule="auto"/>
        <w:rPr>
          <w:rFonts w:ascii="Trebuchet MS" w:eastAsia="Times New Roman" w:hAnsi="Trebuchet MS" w:cs="Calibri"/>
          <w:b/>
          <w:sz w:val="18"/>
          <w:szCs w:val="18"/>
          <w:shd w:val="clear" w:color="auto" w:fill="FFFFFF"/>
          <w:lang w:eastAsia="es-CL"/>
        </w:rPr>
      </w:pPr>
      <w:r>
        <w:rPr>
          <w:noProof/>
          <w:lang w:eastAsia="es-CL"/>
        </w:rPr>
        <w:drawing>
          <wp:anchor distT="0" distB="0" distL="114300" distR="114300" simplePos="0" relativeHeight="251658240" behindDoc="1" locked="0" layoutInCell="1" allowOverlap="1" wp14:anchorId="1613B120" wp14:editId="0C7EC8E2">
            <wp:simplePos x="0" y="0"/>
            <wp:positionH relativeFrom="column">
              <wp:posOffset>2712196</wp:posOffset>
            </wp:positionH>
            <wp:positionV relativeFrom="paragraph">
              <wp:posOffset>127635</wp:posOffset>
            </wp:positionV>
            <wp:extent cx="3216674" cy="2059388"/>
            <wp:effectExtent l="0" t="0" r="317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674" cy="2059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90A85">
        <w:rPr>
          <w:noProof/>
          <w:lang w:eastAsia="es-CL"/>
        </w:rPr>
        <w:t xml:space="preserve"> </w:t>
      </w:r>
      <w:r w:rsidR="000E4CC9">
        <w:rPr>
          <w:noProof/>
          <w:lang w:eastAsia="es-CL"/>
        </w:rPr>
        <w:drawing>
          <wp:inline distT="0" distB="0" distL="0" distR="0" wp14:anchorId="75D7ABE5" wp14:editId="72E736E2">
            <wp:extent cx="2390499" cy="216275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9864" cy="2162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A85">
        <w:rPr>
          <w:noProof/>
          <w:lang w:eastAsia="es-CL"/>
        </w:rPr>
        <w:t xml:space="preserve">  </w:t>
      </w:r>
    </w:p>
    <w:p w:rsidR="000A4DF1" w:rsidRDefault="000A4DF1" w:rsidP="003367BD">
      <w:pPr>
        <w:spacing w:after="0" w:line="240" w:lineRule="auto"/>
        <w:rPr>
          <w:rFonts w:ascii="Trebuchet MS" w:eastAsia="Times New Roman" w:hAnsi="Trebuchet MS" w:cs="Calibri"/>
          <w:color w:val="64645E"/>
          <w:sz w:val="18"/>
          <w:szCs w:val="18"/>
          <w:shd w:val="clear" w:color="auto" w:fill="FFFFFF"/>
          <w:lang w:eastAsia="es-CL"/>
        </w:rPr>
      </w:pPr>
    </w:p>
    <w:p w:rsidR="00C7614C" w:rsidRPr="003367BD" w:rsidRDefault="00C7614C" w:rsidP="003367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CL"/>
        </w:rPr>
      </w:pPr>
    </w:p>
    <w:p w:rsidR="00317F09" w:rsidRDefault="001E2FF0" w:rsidP="003367BD">
      <w:pPr>
        <w:shd w:val="clear" w:color="auto" w:fill="FFFFFF"/>
        <w:spacing w:after="0" w:line="240" w:lineRule="auto"/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</w:pPr>
      <w:r w:rsidRPr="00401C8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 </w:t>
      </w:r>
      <w:r w:rsidR="00317F09"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Considerar </w:t>
      </w:r>
      <w:proofErr w:type="spellStart"/>
      <w:r w:rsidR="00317F09"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Bicicletero</w:t>
      </w:r>
      <w:proofErr w:type="spellEnd"/>
      <w:r w:rsidR="00317F09"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 </w:t>
      </w:r>
      <w:proofErr w:type="spellStart"/>
      <w:r w:rsidR="00317F09"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Fahneu</w:t>
      </w:r>
      <w:proofErr w:type="spellEnd"/>
      <w:r w:rsidR="00317F09" w:rsidRPr="00317F09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, Triangular, modelo PB-004, similar técnico o calidad superior.  Se adjunta imagen de referencia. </w:t>
      </w:r>
    </w:p>
    <w:p w:rsidR="00F36F25" w:rsidRPr="00F36F25" w:rsidRDefault="005A2496" w:rsidP="00F36F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CL"/>
        </w:rPr>
      </w:pPr>
      <w:r>
        <w:rPr>
          <w:noProof/>
          <w:lang w:eastAsia="es-CL"/>
        </w:rPr>
        <w:drawing>
          <wp:inline distT="0" distB="0" distL="0" distR="0" wp14:anchorId="02209335" wp14:editId="36BC153F">
            <wp:extent cx="1940119" cy="2145890"/>
            <wp:effectExtent l="0" t="0" r="3175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6251" cy="215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BAE" w:rsidRPr="00ED7BAE" w:rsidRDefault="00ED7BAE" w:rsidP="00ED7BAE">
      <w:pPr>
        <w:shd w:val="clear" w:color="auto" w:fill="FFFFFF"/>
        <w:spacing w:after="0" w:line="240" w:lineRule="auto"/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</w:pPr>
      <w:r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Para el caso de la Escuela especial </w:t>
      </w:r>
      <w:proofErr w:type="spellStart"/>
      <w:r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Ñielol</w:t>
      </w:r>
      <w:proofErr w:type="spellEnd"/>
      <w:r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, c</w:t>
      </w:r>
      <w:r w:rsidRPr="00ED7BA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onsiderando que el objetivo de la protección aplicada es permitir la evacuación de los ocupantes y evitar que las estructuras colapsen antes del tiempo indicado y de acuerdo a lo indicado en los artículos 4.3.3 y 4.3.4. de la OGUC. Se debe considerar pintura intumescente en las estructuras metálicas de </w:t>
      </w:r>
      <w:proofErr w:type="spellStart"/>
      <w:r w:rsidRPr="00ED7BA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Tubest</w:t>
      </w:r>
      <w:proofErr w:type="spellEnd"/>
      <w:r w:rsidRPr="00ED7BA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, de acuerdo al siguiente esquema.</w:t>
      </w:r>
    </w:p>
    <w:p w:rsidR="00FD6C2A" w:rsidRDefault="00ED7BAE" w:rsidP="00ED7BAE">
      <w:pPr>
        <w:shd w:val="clear" w:color="auto" w:fill="FFFFFF"/>
        <w:spacing w:after="0" w:line="240" w:lineRule="auto"/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</w:pPr>
      <w:r w:rsidRPr="00ED7BA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Para el caso de la Escuela Especial </w:t>
      </w:r>
      <w:proofErr w:type="spellStart"/>
      <w:r w:rsidRPr="00ED7BA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>Ñielol</w:t>
      </w:r>
      <w:proofErr w:type="spellEnd"/>
      <w:r w:rsidRPr="00ED7BAE"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  <w:t xml:space="preserve"> se adjunta tabla con resistencia al fuego, emitida por el arquitecto.  </w:t>
      </w:r>
    </w:p>
    <w:p w:rsidR="002E279A" w:rsidRPr="00E54BD7" w:rsidRDefault="002E279A" w:rsidP="00ED7BAE">
      <w:pPr>
        <w:shd w:val="clear" w:color="auto" w:fill="FFFFFF"/>
        <w:spacing w:after="0" w:line="240" w:lineRule="auto"/>
        <w:rPr>
          <w:rFonts w:ascii="Trebuchet MS" w:eastAsia="Times New Roman" w:hAnsi="Trebuchet MS" w:cs="Calibri"/>
          <w:color w:val="64645E"/>
          <w:sz w:val="18"/>
          <w:szCs w:val="18"/>
          <w:shd w:val="clear" w:color="auto" w:fill="FFFFFF"/>
          <w:lang w:eastAsia="es-CL"/>
        </w:rPr>
      </w:pPr>
    </w:p>
    <w:p w:rsidR="00E54BD7" w:rsidRDefault="00E54BD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5"/>
        <w:gridCol w:w="2645"/>
        <w:gridCol w:w="878"/>
        <w:gridCol w:w="2468"/>
        <w:gridCol w:w="1062"/>
      </w:tblGrid>
      <w:tr w:rsidR="00E54BD7" w:rsidTr="00E54BD7">
        <w:tc>
          <w:tcPr>
            <w:tcW w:w="1795" w:type="dxa"/>
          </w:tcPr>
          <w:p w:rsidR="00E54BD7" w:rsidRDefault="00E54BD7">
            <w:r w:rsidRPr="000F79C0">
              <w:rPr>
                <w:rFonts w:ascii="Arial" w:hAnsi="Arial" w:cs="Arial"/>
                <w:b/>
                <w:sz w:val="18"/>
                <w:szCs w:val="18"/>
              </w:rPr>
              <w:t>ELEMENTOS</w:t>
            </w:r>
          </w:p>
        </w:tc>
        <w:tc>
          <w:tcPr>
            <w:tcW w:w="2708" w:type="dxa"/>
          </w:tcPr>
          <w:p w:rsidR="00E54BD7" w:rsidRDefault="00E54BD7"/>
        </w:tc>
        <w:tc>
          <w:tcPr>
            <w:tcW w:w="883" w:type="dxa"/>
          </w:tcPr>
          <w:p w:rsidR="00E54BD7" w:rsidRDefault="00E54BD7">
            <w:r w:rsidRPr="000F79C0">
              <w:rPr>
                <w:rFonts w:ascii="Arial" w:hAnsi="Arial" w:cs="Arial"/>
                <w:b/>
                <w:sz w:val="18"/>
                <w:szCs w:val="18"/>
              </w:rPr>
              <w:t>S/Ord.</w:t>
            </w:r>
          </w:p>
        </w:tc>
        <w:tc>
          <w:tcPr>
            <w:tcW w:w="2519" w:type="dxa"/>
          </w:tcPr>
          <w:p w:rsidR="00E54BD7" w:rsidRDefault="00E54BD7">
            <w:r w:rsidRPr="000F79C0">
              <w:rPr>
                <w:rFonts w:ascii="Arial" w:hAnsi="Arial" w:cs="Arial"/>
                <w:b/>
                <w:sz w:val="18"/>
                <w:szCs w:val="18"/>
              </w:rPr>
              <w:t>Proyecto</w:t>
            </w:r>
          </w:p>
        </w:tc>
        <w:tc>
          <w:tcPr>
            <w:tcW w:w="1073" w:type="dxa"/>
          </w:tcPr>
          <w:p w:rsidR="00E54BD7" w:rsidRDefault="00E54BD7">
            <w:proofErr w:type="spellStart"/>
            <w:r w:rsidRPr="000F79C0">
              <w:rPr>
                <w:rFonts w:ascii="Arial" w:hAnsi="Arial" w:cs="Arial"/>
                <w:b/>
                <w:sz w:val="18"/>
                <w:szCs w:val="18"/>
              </w:rPr>
              <w:t>Resist</w:t>
            </w:r>
            <w:proofErr w:type="spellEnd"/>
            <w:r w:rsidRPr="000F79C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54BD7" w:rsidTr="00E54BD7">
        <w:tc>
          <w:tcPr>
            <w:tcW w:w="1795" w:type="dxa"/>
          </w:tcPr>
          <w:p w:rsidR="00E54BD7" w:rsidRDefault="00E54BD7">
            <w:r w:rsidRPr="000F79C0">
              <w:rPr>
                <w:rFonts w:ascii="Arial" w:hAnsi="Arial" w:cs="Arial"/>
                <w:sz w:val="18"/>
                <w:szCs w:val="18"/>
              </w:rPr>
              <w:t>Elementos soportantes verticales</w:t>
            </w:r>
          </w:p>
        </w:tc>
        <w:tc>
          <w:tcPr>
            <w:tcW w:w="2708" w:type="dxa"/>
          </w:tcPr>
          <w:p w:rsidR="00E54BD7" w:rsidRPr="000F79C0" w:rsidRDefault="00E54BD7" w:rsidP="00E54BD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79C0">
              <w:rPr>
                <w:rFonts w:ascii="Arial" w:hAnsi="Arial" w:cs="Arial"/>
                <w:sz w:val="18"/>
                <w:szCs w:val="18"/>
              </w:rPr>
              <w:t xml:space="preserve">Pilares </w:t>
            </w:r>
            <w:proofErr w:type="spellStart"/>
            <w:r w:rsidRPr="000F79C0">
              <w:rPr>
                <w:rFonts w:ascii="Arial" w:hAnsi="Arial" w:cs="Arial"/>
                <w:sz w:val="18"/>
                <w:szCs w:val="18"/>
              </w:rPr>
              <w:t>Metalicos</w:t>
            </w:r>
            <w:proofErr w:type="spellEnd"/>
            <w:r w:rsidRPr="000F79C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F79C0">
              <w:rPr>
                <w:rFonts w:ascii="Arial" w:hAnsi="Arial" w:cs="Arial"/>
                <w:sz w:val="18"/>
                <w:szCs w:val="18"/>
              </w:rPr>
              <w:t>Tubest</w:t>
            </w:r>
            <w:proofErr w:type="spellEnd"/>
            <w:r w:rsidRPr="000F79C0">
              <w:rPr>
                <w:rFonts w:ascii="Arial" w:hAnsi="Arial" w:cs="Arial"/>
                <w:sz w:val="18"/>
                <w:szCs w:val="18"/>
              </w:rPr>
              <w:t xml:space="preserve"> Cancha cubierta</w:t>
            </w:r>
            <w:r>
              <w:rPr>
                <w:rFonts w:ascii="Arial" w:hAnsi="Arial" w:cs="Arial"/>
                <w:sz w:val="18"/>
                <w:szCs w:val="18"/>
              </w:rPr>
              <w:t xml:space="preserve"> y otras estructuras metálicas</w:t>
            </w:r>
          </w:p>
        </w:tc>
        <w:tc>
          <w:tcPr>
            <w:tcW w:w="883" w:type="dxa"/>
          </w:tcPr>
          <w:p w:rsidR="00E54BD7" w:rsidRPr="000F79C0" w:rsidRDefault="00E54BD7" w:rsidP="00E54BD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79C0">
              <w:rPr>
                <w:rFonts w:ascii="Arial" w:hAnsi="Arial" w:cs="Arial"/>
                <w:sz w:val="18"/>
                <w:szCs w:val="18"/>
              </w:rPr>
              <w:t>F –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519" w:type="dxa"/>
          </w:tcPr>
          <w:p w:rsidR="00E54BD7" w:rsidRPr="000F79C0" w:rsidRDefault="00E54BD7" w:rsidP="00E54BD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79C0">
              <w:rPr>
                <w:rFonts w:ascii="Arial" w:hAnsi="Arial" w:cs="Arial"/>
                <w:sz w:val="18"/>
                <w:szCs w:val="18"/>
              </w:rPr>
              <w:t>Pilares recubiertos con pintura intumescente</w:t>
            </w:r>
          </w:p>
        </w:tc>
        <w:tc>
          <w:tcPr>
            <w:tcW w:w="1073" w:type="dxa"/>
          </w:tcPr>
          <w:p w:rsidR="00E54BD7" w:rsidRPr="000F79C0" w:rsidRDefault="00E54BD7" w:rsidP="00E54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79C0">
              <w:rPr>
                <w:rFonts w:ascii="Arial" w:hAnsi="Arial" w:cs="Arial"/>
                <w:sz w:val="18"/>
                <w:szCs w:val="18"/>
              </w:rPr>
              <w:t>F –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E54BD7" w:rsidTr="00E54BD7">
        <w:tc>
          <w:tcPr>
            <w:tcW w:w="1795" w:type="dxa"/>
          </w:tcPr>
          <w:p w:rsidR="00E54BD7" w:rsidRDefault="00E54BD7"/>
        </w:tc>
        <w:tc>
          <w:tcPr>
            <w:tcW w:w="2708" w:type="dxa"/>
          </w:tcPr>
          <w:p w:rsidR="00E54BD7" w:rsidRDefault="00E54BD7"/>
        </w:tc>
        <w:tc>
          <w:tcPr>
            <w:tcW w:w="883" w:type="dxa"/>
          </w:tcPr>
          <w:p w:rsidR="00E54BD7" w:rsidRDefault="00E54BD7"/>
        </w:tc>
        <w:tc>
          <w:tcPr>
            <w:tcW w:w="2519" w:type="dxa"/>
          </w:tcPr>
          <w:p w:rsidR="00E54BD7" w:rsidRDefault="00E54BD7"/>
        </w:tc>
        <w:tc>
          <w:tcPr>
            <w:tcW w:w="1073" w:type="dxa"/>
          </w:tcPr>
          <w:p w:rsidR="00E54BD7" w:rsidRDefault="00E54BD7" w:rsidP="00E54BD7">
            <w:pPr>
              <w:jc w:val="center"/>
            </w:pPr>
          </w:p>
        </w:tc>
      </w:tr>
      <w:tr w:rsidR="00E54BD7" w:rsidTr="00E54BD7">
        <w:tc>
          <w:tcPr>
            <w:tcW w:w="1795" w:type="dxa"/>
          </w:tcPr>
          <w:p w:rsidR="00E54BD7" w:rsidRDefault="00E54BD7">
            <w:r w:rsidRPr="000F79C0">
              <w:rPr>
                <w:rFonts w:ascii="Arial" w:hAnsi="Arial" w:cs="Arial"/>
                <w:sz w:val="18"/>
                <w:szCs w:val="18"/>
              </w:rPr>
              <w:t>Elementos soportantes horizontales</w:t>
            </w:r>
          </w:p>
        </w:tc>
        <w:tc>
          <w:tcPr>
            <w:tcW w:w="2708" w:type="dxa"/>
          </w:tcPr>
          <w:p w:rsidR="00E54BD7" w:rsidRDefault="00E54BD7" w:rsidP="00E54BD7">
            <w:r w:rsidRPr="000F79C0">
              <w:rPr>
                <w:rFonts w:ascii="Arial" w:hAnsi="Arial" w:cs="Arial"/>
                <w:sz w:val="18"/>
                <w:szCs w:val="18"/>
              </w:rPr>
              <w:t>Vigas y e</w:t>
            </w:r>
            <w:r w:rsidR="005A2496">
              <w:rPr>
                <w:rFonts w:ascii="Arial" w:hAnsi="Arial" w:cs="Arial"/>
                <w:sz w:val="18"/>
                <w:szCs w:val="18"/>
              </w:rPr>
              <w:t xml:space="preserve">lementos horizontales de </w:t>
            </w:r>
            <w:proofErr w:type="spellStart"/>
            <w:r w:rsidR="005A2496">
              <w:rPr>
                <w:rFonts w:ascii="Arial" w:hAnsi="Arial" w:cs="Arial"/>
                <w:sz w:val="18"/>
                <w:szCs w:val="18"/>
              </w:rPr>
              <w:t>Tubest</w:t>
            </w:r>
            <w:proofErr w:type="spellEnd"/>
            <w:r w:rsidR="005A2496">
              <w:rPr>
                <w:rFonts w:ascii="Arial" w:hAnsi="Arial" w:cs="Arial"/>
                <w:sz w:val="18"/>
                <w:szCs w:val="18"/>
              </w:rPr>
              <w:t>, incluye costaneras.</w:t>
            </w:r>
          </w:p>
        </w:tc>
        <w:tc>
          <w:tcPr>
            <w:tcW w:w="883" w:type="dxa"/>
          </w:tcPr>
          <w:p w:rsidR="00E54BD7" w:rsidRDefault="00E54BD7">
            <w:r w:rsidRPr="000F79C0">
              <w:rPr>
                <w:rFonts w:ascii="Arial" w:hAnsi="Arial" w:cs="Arial"/>
                <w:sz w:val="18"/>
                <w:szCs w:val="18"/>
              </w:rPr>
              <w:t>F –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519" w:type="dxa"/>
          </w:tcPr>
          <w:p w:rsidR="00E54BD7" w:rsidRDefault="00E54BD7">
            <w:r w:rsidRPr="000F79C0">
              <w:rPr>
                <w:rFonts w:ascii="Arial" w:hAnsi="Arial" w:cs="Arial"/>
                <w:sz w:val="18"/>
                <w:szCs w:val="18"/>
              </w:rPr>
              <w:t xml:space="preserve">Vigas y elementos horizontales de </w:t>
            </w:r>
            <w:proofErr w:type="spellStart"/>
            <w:r w:rsidRPr="000F79C0">
              <w:rPr>
                <w:rFonts w:ascii="Arial" w:hAnsi="Arial" w:cs="Arial"/>
                <w:sz w:val="18"/>
                <w:szCs w:val="18"/>
              </w:rPr>
              <w:t>Tubest</w:t>
            </w:r>
            <w:proofErr w:type="spellEnd"/>
            <w:r w:rsidRPr="000F79C0">
              <w:rPr>
                <w:rFonts w:ascii="Arial" w:hAnsi="Arial" w:cs="Arial"/>
                <w:sz w:val="18"/>
                <w:szCs w:val="18"/>
              </w:rPr>
              <w:t xml:space="preserve"> y metálicos con pintura intumescente</w:t>
            </w:r>
          </w:p>
        </w:tc>
        <w:tc>
          <w:tcPr>
            <w:tcW w:w="1073" w:type="dxa"/>
          </w:tcPr>
          <w:p w:rsidR="00E54BD7" w:rsidRDefault="00E54BD7" w:rsidP="00E54BD7">
            <w:pPr>
              <w:jc w:val="center"/>
            </w:pPr>
            <w:r w:rsidRPr="000F79C0">
              <w:rPr>
                <w:rFonts w:ascii="Arial" w:hAnsi="Arial" w:cs="Arial"/>
                <w:sz w:val="18"/>
                <w:szCs w:val="18"/>
              </w:rPr>
              <w:t>F –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E54BD7" w:rsidTr="00E54BD7">
        <w:tc>
          <w:tcPr>
            <w:tcW w:w="1795" w:type="dxa"/>
          </w:tcPr>
          <w:p w:rsidR="00E54BD7" w:rsidRDefault="00E54BD7"/>
        </w:tc>
        <w:tc>
          <w:tcPr>
            <w:tcW w:w="2708" w:type="dxa"/>
          </w:tcPr>
          <w:p w:rsidR="00E54BD7" w:rsidRDefault="00E54BD7"/>
        </w:tc>
        <w:tc>
          <w:tcPr>
            <w:tcW w:w="883" w:type="dxa"/>
          </w:tcPr>
          <w:p w:rsidR="00E54BD7" w:rsidRDefault="00E54BD7"/>
        </w:tc>
        <w:tc>
          <w:tcPr>
            <w:tcW w:w="2519" w:type="dxa"/>
          </w:tcPr>
          <w:p w:rsidR="00E54BD7" w:rsidRDefault="00E54BD7"/>
        </w:tc>
        <w:tc>
          <w:tcPr>
            <w:tcW w:w="1073" w:type="dxa"/>
          </w:tcPr>
          <w:p w:rsidR="00E54BD7" w:rsidRDefault="00E54BD7"/>
        </w:tc>
      </w:tr>
    </w:tbl>
    <w:p w:rsidR="002E279A" w:rsidRDefault="002E279A">
      <w:pPr>
        <w:rPr>
          <w:rFonts w:ascii="Calibri" w:hAnsi="Calibri" w:cs="Calibri"/>
          <w:color w:val="000000"/>
          <w:shd w:val="clear" w:color="auto" w:fill="FFFFFF"/>
        </w:rPr>
      </w:pPr>
    </w:p>
    <w:p w:rsidR="00E54BD7" w:rsidRDefault="002E279A">
      <w:r>
        <w:rPr>
          <w:rFonts w:ascii="Calibri" w:hAnsi="Calibri" w:cs="Calibri"/>
          <w:color w:val="000000"/>
          <w:shd w:val="clear" w:color="auto" w:fill="FFFFFF"/>
        </w:rPr>
        <w:t xml:space="preserve">En consulta al fabricante del producto, indica que: Si es posible aplicar Pintura Intumescente (Protección contra el Fuego) en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Tubest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>, por lo demás según Listado Oficial de comportamiento al fuego del MINVU, señala Tablas de correlación entre Masividad y Espesor de Pinturas Intumescente para determinada resistencia al Fuego. </w:t>
      </w:r>
    </w:p>
    <w:p w:rsidR="00401C8E" w:rsidRDefault="00401C8E" w:rsidP="00401C8E">
      <w:pPr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p w:rsidR="00401C8E" w:rsidRPr="00401C8E" w:rsidRDefault="00401C8E" w:rsidP="00401C8E">
      <w:pPr>
        <w:rPr>
          <w:rFonts w:ascii="Trebuchet MS" w:eastAsia="Times New Roman" w:hAnsi="Trebuchet MS" w:cs="Calibri"/>
          <w:sz w:val="18"/>
          <w:szCs w:val="18"/>
          <w:shd w:val="clear" w:color="auto" w:fill="FFFFFF"/>
          <w:lang w:eastAsia="es-CL"/>
        </w:rPr>
      </w:pPr>
    </w:p>
    <w:p w:rsidR="000F79C0" w:rsidRDefault="000F79C0"/>
    <w:sectPr w:rsidR="000F79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BD"/>
    <w:rsid w:val="000A4DF1"/>
    <w:rsid w:val="000E4CC9"/>
    <w:rsid w:val="000F79C0"/>
    <w:rsid w:val="00111C10"/>
    <w:rsid w:val="00143B9B"/>
    <w:rsid w:val="001E2FF0"/>
    <w:rsid w:val="002D2287"/>
    <w:rsid w:val="002E279A"/>
    <w:rsid w:val="00317F09"/>
    <w:rsid w:val="003367BD"/>
    <w:rsid w:val="00401C8E"/>
    <w:rsid w:val="004B6CF5"/>
    <w:rsid w:val="005A2496"/>
    <w:rsid w:val="008440AD"/>
    <w:rsid w:val="00A81988"/>
    <w:rsid w:val="00C7614C"/>
    <w:rsid w:val="00C90A85"/>
    <w:rsid w:val="00D16DAF"/>
    <w:rsid w:val="00DC6634"/>
    <w:rsid w:val="00E54BD7"/>
    <w:rsid w:val="00EB2CDE"/>
    <w:rsid w:val="00EC7677"/>
    <w:rsid w:val="00ED7BAE"/>
    <w:rsid w:val="00F36F25"/>
    <w:rsid w:val="00FD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3902"/>
  <w15:docId w15:val="{A72892E9-7F00-4BCF-AC0E-C26B07AE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B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367B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6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614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54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8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4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06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27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3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9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04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Ulloa</dc:creator>
  <cp:lastModifiedBy>Francisco Jose Vives Brun </cp:lastModifiedBy>
  <cp:revision>2</cp:revision>
  <cp:lastPrinted>2022-06-10T23:24:00Z</cp:lastPrinted>
  <dcterms:created xsi:type="dcterms:W3CDTF">2022-07-08T19:21:00Z</dcterms:created>
  <dcterms:modified xsi:type="dcterms:W3CDTF">2022-07-08T19:21:00Z</dcterms:modified>
</cp:coreProperties>
</file>